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100"/>
      </w:pPr>
      <w:r>
        <w:rPr>
          <w:rFonts w:ascii="Poppins" w:hAnsi="Poppins"/>
          <w:b/>
          <w:i w:val="0"/>
          <w:color w:val="FF823C"/>
          <w:sz w:val="19"/>
        </w:rPr>
        <w:t>LVL HAUS TOOLKIT | HR &amp; WORKFORCE</w:t>
      </w:r>
    </w:p>
    <w:p>
      <w:pPr>
        <w:spacing w:after="100"/>
      </w:pPr>
      <w:r>
        <w:rPr>
          <w:rFonts w:ascii="Poppins" w:hAnsi="Poppins"/>
          <w:b/>
          <w:i w:val="0"/>
          <w:color w:val="2B3D6C"/>
          <w:sz w:val="50"/>
        </w:rPr>
        <w:t>New-Hire File Completeness Checklist</w:t>
      </w:r>
    </w:p>
    <w:p>
      <w:pPr>
        <w:spacing w:after="280"/>
      </w:pPr>
      <w:r>
        <w:rPr>
          <w:rFonts w:ascii="Prompt" w:hAnsi="Prompt"/>
          <w:b w:val="0"/>
          <w:i w:val="0"/>
          <w:color w:val="2B3149"/>
          <w:sz w:val="24"/>
        </w:rPr>
        <w:t>A practical audit tool for assembling, reviewing, and correcting employee records.</w:t>
      </w:r>
    </w:p>
    <w:tbl>
      <w:tblPr>
        <w:tblW w:type="auto" w:w="0"/>
        <w:jc w:val="center"/>
        <w:tblLayout w:type="fixed"/>
        <w:tblLook w:firstColumn="1" w:firstRow="1" w:lastColumn="0" w:lastRow="0" w:noHBand="0" w:noVBand="1" w:val="04A0"/>
      </w:tblPr>
      <w:tblGrid>
        <w:gridCol w:w="5083"/>
        <w:gridCol w:w="5083"/>
      </w:tblGrid>
      <w:tr>
        <w:tc>
          <w:tcPr>
            <w:tcW w:type="dxa" w:w="1700"/>
            <w:tcMar>
              <w:top w:w="120" w:type="dxa"/>
              <w:start w:w="150" w:type="dxa"/>
              <w:bottom w:w="120" w:type="dxa"/>
              <w:end w:w="150" w:type="dxa"/>
            </w:tcMar>
            <w:vAlign w:val="center"/>
            <w:shd w:fill="2B3D6C"/>
          </w:tcPr>
          <w:p>
            <w:pPr>
              <w:jc w:val="center"/>
            </w:pPr>
            <w:r>
              <w:rPr>
                <w:rFonts w:ascii="Poppins" w:hAnsi="Poppins"/>
                <w:b/>
                <w:i w:val="0"/>
                <w:color w:val="FFFFFF"/>
                <w:sz w:val="17"/>
              </w:rPr>
              <w:t>PURPOSE</w:t>
            </w:r>
          </w:p>
        </w:tc>
        <w:tc>
          <w:tcPr>
            <w:tcW w:type="dxa" w:w="7660"/>
            <w:tcMar>
              <w:top w:w="120" w:type="dxa"/>
              <w:start w:w="150" w:type="dxa"/>
              <w:bottom w:w="120" w:type="dxa"/>
              <w:end w:w="150" w:type="dxa"/>
            </w:tcMar>
            <w:vAlign w:val="center"/>
            <w:shd w:fill="E4F0F8"/>
          </w:tcPr>
          <w:p>
            <w:r>
              <w:rPr>
                <w:rFonts w:ascii="Prompt" w:hAnsi="Prompt"/>
                <w:b w:val="0"/>
                <w:i w:val="0"/>
                <w:color w:val="2B3149"/>
                <w:sz w:val="19"/>
              </w:rPr>
              <w:t>Confirm that core onboarding records are complete, timely, internally consistent, and ready for follow-up.</w:t>
            </w:r>
          </w:p>
        </w:tc>
      </w:tr>
      <w:tr>
        <w:tc>
          <w:tcPr>
            <w:tcW w:type="dxa" w:w="1700"/>
            <w:tcMar>
              <w:top w:w="120" w:type="dxa"/>
              <w:start w:w="150" w:type="dxa"/>
              <w:bottom w:w="120" w:type="dxa"/>
              <w:end w:w="150" w:type="dxa"/>
            </w:tcMar>
            <w:vAlign w:val="center"/>
            <w:shd w:fill="2B3D6C"/>
          </w:tcPr>
          <w:p>
            <w:pPr>
              <w:jc w:val="center"/>
            </w:pPr>
            <w:r>
              <w:rPr>
                <w:rFonts w:ascii="Poppins" w:hAnsi="Poppins"/>
                <w:b/>
                <w:i w:val="0"/>
                <w:color w:val="FFFFFF"/>
                <w:sz w:val="17"/>
              </w:rPr>
              <w:t>BEST FOR</w:t>
            </w:r>
          </w:p>
        </w:tc>
        <w:tc>
          <w:tcPr>
            <w:tcW w:type="dxa" w:w="7660"/>
            <w:tcMar>
              <w:top w:w="120" w:type="dxa"/>
              <w:start w:w="150" w:type="dxa"/>
              <w:bottom w:w="120" w:type="dxa"/>
              <w:end w:w="150" w:type="dxa"/>
            </w:tcMar>
            <w:vAlign w:val="center"/>
            <w:shd w:fill="FFEDDB"/>
          </w:tcPr>
          <w:p>
            <w:r>
              <w:rPr>
                <w:rFonts w:ascii="Prompt" w:hAnsi="Prompt"/>
                <w:b w:val="0"/>
                <w:i w:val="0"/>
                <w:color w:val="2B3149"/>
                <w:sz w:val="19"/>
              </w:rPr>
              <w:t>Employers reviewing a new employee file during the first three days, first 30 days, or a periodic internal audit.</w:t>
            </w:r>
          </w:p>
        </w:tc>
      </w:tr>
    </w:tbl>
    <w:p/>
    <w:tbl>
      <w:tblPr>
        <w:tblW w:type="auto" w:w="0"/>
        <w:jc w:val="center"/>
        <w:tblLayout w:type="fixed"/>
        <w:tblLook w:firstColumn="1" w:firstRow="1" w:lastColumn="0" w:lastRow="0" w:noHBand="0" w:noVBand="1" w:val="04A0"/>
      </w:tblPr>
      <w:tblGrid>
        <w:gridCol w:w="2541"/>
        <w:gridCol w:w="2541"/>
        <w:gridCol w:w="2541"/>
        <w:gridCol w:w="2541"/>
      </w:tblGrid>
      <w:tr>
        <w:tc>
          <w:tcPr>
            <w:tcW w:type="dxa" w:w="1500"/>
            <w:tcMar>
              <w:top w:w="95" w:type="dxa"/>
              <w:start w:w="110" w:type="dxa"/>
              <w:bottom w:w="95" w:type="dxa"/>
              <w:end w:w="110" w:type="dxa"/>
            </w:tcMar>
            <w:shd w:fill="E4F0F8"/>
          </w:tcPr>
          <w:p>
            <w:r>
              <w:rPr>
                <w:rFonts w:ascii="Poppins" w:hAnsi="Poppins"/>
                <w:b/>
                <w:i w:val="0"/>
                <w:color w:val="2B3D6C"/>
                <w:sz w:val="16"/>
              </w:rPr>
              <w:t>Employee name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Employee ID</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Job title / department</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Work location</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Hire date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Audit date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r>
        <w:tc>
          <w:tcPr>
            <w:tcW w:type="dxa" w:w="1500"/>
            <w:tcMar>
              <w:top w:w="95" w:type="dxa"/>
              <w:start w:w="110" w:type="dxa"/>
              <w:bottom w:w="95" w:type="dxa"/>
              <w:end w:w="110" w:type="dxa"/>
            </w:tcMar>
            <w:shd w:fill="E4F0F8"/>
          </w:tcPr>
          <w:p>
            <w:r>
              <w:rPr>
                <w:rFonts w:ascii="Poppins" w:hAnsi="Poppins"/>
                <w:b/>
                <w:i w:val="0"/>
                <w:color w:val="2B3D6C"/>
                <w:sz w:val="16"/>
              </w:rPr>
              <w:t>Reviewed by</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c>
          <w:tcPr>
            <w:tcW w:type="dxa" w:w="1500"/>
            <w:tcMar>
              <w:top w:w="95" w:type="dxa"/>
              <w:start w:w="110" w:type="dxa"/>
              <w:bottom w:w="95" w:type="dxa"/>
              <w:end w:w="110" w:type="dxa"/>
            </w:tcMar>
            <w:shd w:fill="E4F0F8"/>
          </w:tcPr>
          <w:p>
            <w:r>
              <w:rPr>
                <w:rFonts w:ascii="Poppins" w:hAnsi="Poppins"/>
                <w:b/>
                <w:i w:val="0"/>
                <w:color w:val="2B3D6C"/>
                <w:sz w:val="16"/>
              </w:rPr>
              <w:t>Worker type</w:t>
            </w:r>
          </w:p>
        </w:tc>
        <w:tc>
          <w:tcPr>
            <w:tcW w:type="dxa" w:w="3180"/>
            <w:tcMar>
              <w:top w:w="95" w:type="dxa"/>
              <w:start w:w="110" w:type="dxa"/>
              <w:bottom w:w="95" w:type="dxa"/>
              <w:end w:w="110" w:type="dxa"/>
            </w:tcMar>
          </w:tcPr>
          <w:p>
            <w:r>
              <w:rPr>
                <w:rFonts w:ascii="Prompt" w:hAnsi="Prompt"/>
                <w:b w:val="0"/>
                <w:i w:val="0"/>
                <w:color w:val="67738A"/>
                <w:sz w:val="18"/>
              </w:rPr>
              <w:t xml:space="preserve"> _________________________</w:t>
            </w:r>
          </w:p>
        </w:tc>
      </w:tr>
    </w:tbl>
    <w:p/>
    <w:p>
      <w:pPr>
        <w:pStyle w:val="Heading1"/>
      </w:pPr>
      <w:r>
        <w:t>1. Worker setup and classification</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Offer letter or employment agreement is complete and retained.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Employee/contractor classification is documented and consistent across HR, payroll, and scheduling systems.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Job title, department, manager, work location, status, and start date match across systems.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Required background, credential, or eligibility checks are documented when applicable.</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r>
        <w:br w:type="page"/>
      </w:r>
    </w:p>
    <w:p>
      <w:pPr>
        <w:pStyle w:val="Heading1"/>
      </w:pPr>
      <w:r>
        <w:t>2. Form I-9 and work authorization</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Form I-9 is present in the designated file or authorized electronic system.</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Section 1 was completed no later than the employee's first day of employment for pay.</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Section 2 was completed within three business days of the first day of employment for pay.</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Document information is complete; only permitted documents were accepted and no over-documentation occurred.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Corrections are dated, attributable, and preserve the original information; reverification is calendared when applicable.</w:t>
            </w:r>
          </w:p>
        </w:tc>
        <w:tc>
          <w:tcPr>
            <w:tcW w:type="dxa" w:w="2700"/>
            <w:tcMar>
              <w:top w:w="72" w:type="dxa"/>
              <w:start w:w="120" w:type="dxa"/>
              <w:bottom w:w="72" w:type="dxa"/>
              <w:end w:w="120" w:type="dxa"/>
            </w:tcMar>
            <w:vAlign w:val="center"/>
          </w:tcPr>
          <w:p>
            <w:r>
              <w:rPr>
                <w:rFonts w:ascii="Prompt" w:hAnsi="Prompt"/>
                <w:b w:val="0"/>
                <w:i w:val="0"/>
                <w:color w:val="2B3149"/>
                <w:sz w:val="18"/>
              </w:rPr>
            </w:r>
          </w:p>
        </w:tc>
      </w:tr>
    </w:tbl>
    <w:p>
      <w:pPr>
        <w:pStyle w:val="Heading1"/>
      </w:pPr>
      <w:r>
        <w:t>3. Payroll, tax, and wage records</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Federal and applicable state/local withholding elections were captured.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Legal name, Social Security number, address, pay rate, pay frequency, and effective date are verified.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Direct-deposit authorization or alternative payment instructions are retained securely.</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Timekeeping, overtime eligibility, deductions, and wage-notice requirements were reviewed.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Payroll setup matches the approved offer and HR system record.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bl>
    <w:p>
      <w:r>
        <w:br w:type="page"/>
      </w:r>
    </w:p>
    <w:p>
      <w:pPr>
        <w:pStyle w:val="Heading1"/>
      </w:pPr>
      <w:r>
        <w:t>4. Policies, benefits, and required notices</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Handbook and required policy acknowledgments are complete.</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Confidentiality, acceptable-use, safety, and role-specific acknowledgments are retained when applicable.</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Benefit eligibility, enrollment/waiver records, and required notices are documented.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Federal, state, and local new-hire notices were delivered within applicable timeframes.</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Emergency contact and required personal information are stored with appropriate access controls.</w:t>
            </w:r>
          </w:p>
        </w:tc>
        <w:tc>
          <w:tcPr>
            <w:tcW w:type="dxa" w:w="2700"/>
            <w:tcMar>
              <w:top w:w="72" w:type="dxa"/>
              <w:start w:w="120" w:type="dxa"/>
              <w:bottom w:w="72" w:type="dxa"/>
              <w:end w:w="120" w:type="dxa"/>
            </w:tcMar>
            <w:vAlign w:val="center"/>
          </w:tcPr>
          <w:p>
            <w:r>
              <w:rPr>
                <w:rFonts w:ascii="Prompt" w:hAnsi="Prompt"/>
                <w:b w:val="0"/>
                <w:i w:val="0"/>
                <w:color w:val="2B3149"/>
                <w:sz w:val="18"/>
              </w:rPr>
            </w:r>
          </w:p>
        </w:tc>
      </w:tr>
    </w:tbl>
    <w:p>
      <w:pPr>
        <w:pStyle w:val="Heading1"/>
      </w:pPr>
      <w:r>
        <w:t>5. Final quality control</w:t>
      </w:r>
    </w:p>
    <w:tbl>
      <w:tblPr>
        <w:tblW w:type="auto" w:w="0"/>
        <w:jc w:val="center"/>
        <w:tblLayout w:type="fixed"/>
        <w:tblLook w:firstColumn="1" w:firstRow="1" w:lastColumn="0" w:lastRow="0" w:noHBand="0" w:noVBand="1" w:val="04A0"/>
      </w:tblPr>
      <w:tblGrid>
        <w:gridCol w:w="3389"/>
        <w:gridCol w:w="3389"/>
        <w:gridCol w:w="3389"/>
      </w:tblGrid>
      <w:tr>
        <w:trPr>
          <w:tblHeader w:val="true"/>
        </w:trPr>
        <w:tc>
          <w:tcPr>
            <w:tcW w:type="dxa" w:w="620"/>
            <w:tcMar>
              <w:top w:w="105" w:type="dxa"/>
              <w:start w:w="120" w:type="dxa"/>
              <w:bottom w:w="105" w:type="dxa"/>
              <w:end w:w="120" w:type="dxa"/>
            </w:tcMar>
            <w:shd w:fill="2B3D6C"/>
          </w:tcPr>
          <w:p>
            <w:pPr>
              <w:jc w:val="center"/>
            </w:pPr>
            <w:r>
              <w:rPr>
                <w:rFonts w:ascii="Poppins" w:hAnsi="Poppins"/>
                <w:b/>
                <w:i w:val="0"/>
                <w:color w:val="FFFFFF"/>
                <w:sz w:val="16"/>
              </w:rPr>
              <w:t>DONE</w:t>
            </w:r>
          </w:p>
        </w:tc>
        <w:tc>
          <w:tcPr>
            <w:tcW w:type="dxa" w:w="6040"/>
            <w:tcMar>
              <w:top w:w="105" w:type="dxa"/>
              <w:start w:w="120" w:type="dxa"/>
              <w:bottom w:w="105" w:type="dxa"/>
              <w:end w:w="120" w:type="dxa"/>
            </w:tcMar>
            <w:shd w:fill="2B3D6C"/>
          </w:tcPr>
          <w:p>
            <w:pPr>
              <w:jc w:val="left"/>
            </w:pPr>
            <w:r>
              <w:rPr>
                <w:rFonts w:ascii="Poppins" w:hAnsi="Poppins"/>
                <w:b/>
                <w:i w:val="0"/>
                <w:color w:val="FFFFFF"/>
                <w:sz w:val="16"/>
              </w:rPr>
              <w:t>CONTROL / REVIEW ITEM</w:t>
            </w:r>
          </w:p>
        </w:tc>
        <w:tc>
          <w:tcPr>
            <w:tcW w:type="dxa" w:w="2700"/>
            <w:tcMar>
              <w:top w:w="105" w:type="dxa"/>
              <w:start w:w="120" w:type="dxa"/>
              <w:bottom w:w="105" w:type="dxa"/>
              <w:end w:w="120" w:type="dxa"/>
            </w:tcMar>
            <w:shd w:fill="2B3D6C"/>
          </w:tcPr>
          <w:p>
            <w:pPr>
              <w:jc w:val="center"/>
            </w:pPr>
            <w:r>
              <w:rPr>
                <w:rFonts w:ascii="Poppins" w:hAnsi="Poppins"/>
                <w:b/>
                <w:i w:val="0"/>
                <w:color w:val="FFFFFF"/>
                <w:sz w:val="16"/>
              </w:rPr>
              <w:t>EVIDENCE OR NOTES</w:t>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Missing or inconsistent items have an owner, deadline, and documented follow-up.</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Sensitive medical or benefit information is separated from the general personnel file where appropriate.</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r>
        <w:tc>
          <w:tcPr>
            <w:tcW w:type="dxa" w:w="620"/>
            <w:tcMar>
              <w:top w:w="72" w:type="dxa"/>
              <w:start w:w="120" w:type="dxa"/>
              <w:bottom w:w="72" w:type="dxa"/>
              <w:end w:w="120" w:type="dxa"/>
            </w:tcMar>
            <w:vAlign w:val="center"/>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tcPr>
          <w:p>
            <w:r>
              <w:rPr>
                <w:rFonts w:ascii="Prompt" w:hAnsi="Prompt"/>
                <w:b w:val="0"/>
                <w:i w:val="0"/>
                <w:color w:val="2B3149"/>
                <w:sz w:val="18"/>
              </w:rPr>
              <w:t>File access is limited to authorized personnel and retention location is confirmed.</w:t>
            </w:r>
          </w:p>
        </w:tc>
        <w:tc>
          <w:tcPr>
            <w:tcW w:type="dxa" w:w="2700"/>
            <w:tcMar>
              <w:top w:w="72" w:type="dxa"/>
              <w:start w:w="120" w:type="dxa"/>
              <w:bottom w:w="72" w:type="dxa"/>
              <w:end w:w="120" w:type="dxa"/>
            </w:tcMar>
            <w:vAlign w:val="center"/>
          </w:tcPr>
          <w:p>
            <w:r>
              <w:rPr>
                <w:rFonts w:ascii="Prompt" w:hAnsi="Prompt"/>
                <w:b w:val="0"/>
                <w:i w:val="0"/>
                <w:color w:val="2B3149"/>
                <w:sz w:val="18"/>
              </w:rPr>
            </w:r>
          </w:p>
        </w:tc>
      </w:tr>
      <w:tr>
        <w:tc>
          <w:tcPr>
            <w:tcW w:type="dxa" w:w="620"/>
            <w:tcMar>
              <w:top w:w="72" w:type="dxa"/>
              <w:start w:w="120" w:type="dxa"/>
              <w:bottom w:w="72" w:type="dxa"/>
              <w:end w:w="120" w:type="dxa"/>
            </w:tcMar>
            <w:vAlign w:val="center"/>
            <w:shd w:fill="F7FAFC"/>
          </w:tcPr>
          <w:p>
            <w:pPr>
              <w:jc w:val="center"/>
            </w:pPr>
            <w:r>
              <w:rPr>
                <w:rFonts w:ascii="Arial" w:hAnsi="Arial"/>
                <w:b/>
                <w:i w:val="0"/>
                <w:color w:val="2B3D6C"/>
                <w:sz w:val="20"/>
              </w:rPr>
              <w:t>[  ]</w:t>
            </w:r>
          </w:p>
        </w:tc>
        <w:tc>
          <w:tcPr>
            <w:tcW w:type="dxa" w:w="6040"/>
            <w:tcMar>
              <w:top w:w="72" w:type="dxa"/>
              <w:start w:w="120" w:type="dxa"/>
              <w:bottom w:w="72" w:type="dxa"/>
              <w:end w:w="120" w:type="dxa"/>
            </w:tcMar>
            <w:vAlign w:val="center"/>
            <w:shd w:fill="F7FAFC"/>
          </w:tcPr>
          <w:p>
            <w:r>
              <w:rPr>
                <w:rFonts w:ascii="Prompt" w:hAnsi="Prompt"/>
                <w:b w:val="0"/>
                <w:i w:val="0"/>
                <w:color w:val="2B3149"/>
                <w:sz w:val="18"/>
              </w:rPr>
              <w:t>A 30-day completeness recheck has been scheduled or completed.</w:t>
            </w:r>
          </w:p>
        </w:tc>
        <w:tc>
          <w:tcPr>
            <w:tcW w:type="dxa" w:w="2700"/>
            <w:tcMar>
              <w:top w:w="72" w:type="dxa"/>
              <w:start w:w="120" w:type="dxa"/>
              <w:bottom w:w="72" w:type="dxa"/>
              <w:end w:w="120" w:type="dxa"/>
            </w:tcMar>
            <w:vAlign w:val="center"/>
            <w:shd w:fill="F7FAFC"/>
          </w:tcPr>
          <w:p>
            <w:r>
              <w:rPr>
                <w:rFonts w:ascii="Prompt" w:hAnsi="Prompt"/>
                <w:b w:val="0"/>
                <w:i w:val="0"/>
                <w:color w:val="2B3149"/>
                <w:sz w:val="18"/>
              </w:rPr>
            </w:r>
          </w:p>
        </w:tc>
      </w:tr>
    </w:tbl>
    <w:p>
      <w:pPr>
        <w:pStyle w:val="Heading1"/>
      </w:pPr>
      <w:r>
        <w:t>Notes and follow-up actions</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spacing w:after="100"/>
      </w:pPr>
      <w:r>
        <w:rPr>
          <w:rFonts w:ascii="Prompt" w:hAnsi="Prompt"/>
          <w:b w:val="0"/>
          <w:i w:val="0"/>
          <w:color w:val="A4ADBA"/>
          <w:sz w:val="16"/>
        </w:rPr>
        <w:t>________________________________________________________________________________________________________________</w:t>
      </w:r>
    </w:p>
    <w:p>
      <w:pPr>
        <w:pStyle w:val="Heading1"/>
      </w:pPr>
      <w:r>
        <w:t>Review and sign-off</w:t>
      </w:r>
    </w:p>
    <w:tbl>
      <w:tblPr>
        <w:tblW w:type="auto" w:w="0"/>
        <w:jc w:val="center"/>
        <w:tblLayout w:type="fixed"/>
        <w:tblLook w:firstColumn="1" w:firstRow="1" w:lastColumn="0" w:lastRow="0" w:noHBand="0" w:noVBand="1" w:val="04A0"/>
      </w:tblPr>
      <w:tblGrid>
        <w:gridCol w:w="3389"/>
        <w:gridCol w:w="3389"/>
        <w:gridCol w:w="3389"/>
      </w:tblGrid>
      <w:tr>
        <w:tc>
          <w:tcPr>
            <w:tcW w:type="dxa" w:w="2050"/>
            <w:tcMar>
              <w:top w:w="120" w:type="dxa"/>
              <w:start w:w="110" w:type="dxa"/>
              <w:bottom w:w="120" w:type="dxa"/>
              <w:end w:w="110" w:type="dxa"/>
            </w:tcMar>
            <w:shd w:fill="E4F0F8"/>
          </w:tcPr>
          <w:p>
            <w:r>
              <w:rPr>
                <w:rFonts w:ascii="Poppins" w:hAnsi="Poppins"/>
                <w:b/>
                <w:i w:val="0"/>
                <w:color w:val="2B3D6C"/>
                <w:sz w:val="17"/>
              </w:rPr>
              <w:t>Manager / reviewer</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r>
        <w:tc>
          <w:tcPr>
            <w:tcW w:type="dxa" w:w="2050"/>
            <w:tcMar>
              <w:top w:w="120" w:type="dxa"/>
              <w:start w:w="110" w:type="dxa"/>
              <w:bottom w:w="120" w:type="dxa"/>
              <w:end w:w="110" w:type="dxa"/>
            </w:tcMar>
            <w:shd w:fill="E4F0F8"/>
          </w:tcPr>
          <w:p>
            <w:r>
              <w:rPr>
                <w:rFonts w:ascii="Poppins" w:hAnsi="Poppins"/>
                <w:b/>
                <w:i w:val="0"/>
                <w:color w:val="2B3D6C"/>
                <w:sz w:val="17"/>
              </w:rPr>
              <w:t>HR verification</w:t>
            </w:r>
          </w:p>
        </w:tc>
        <w:tc>
          <w:tcPr>
            <w:tcW w:type="dxa" w:w="5000"/>
            <w:tcMar>
              <w:top w:w="120" w:type="dxa"/>
              <w:start w:w="110" w:type="dxa"/>
              <w:bottom w:w="120" w:type="dxa"/>
              <w:end w:w="110" w:type="dxa"/>
            </w:tcMar>
          </w:tcPr>
          <w:p>
            <w:r>
              <w:rPr>
                <w:rFonts w:ascii="Prompt" w:hAnsi="Prompt"/>
                <w:b w:val="0"/>
                <w:i w:val="0"/>
                <w:color w:val="7A8494"/>
                <w:sz w:val="18"/>
              </w:rPr>
              <w:t>______________________________________</w:t>
            </w:r>
          </w:p>
        </w:tc>
        <w:tc>
          <w:tcPr>
            <w:tcW w:type="dxa" w:w="2310"/>
            <w:tcMar>
              <w:top w:w="120" w:type="dxa"/>
              <w:start w:w="110" w:type="dxa"/>
              <w:bottom w:w="120" w:type="dxa"/>
              <w:end w:w="110" w:type="dxa"/>
            </w:tcMar>
          </w:tcPr>
          <w:p>
            <w:r>
              <w:rPr>
                <w:rFonts w:ascii="Prompt" w:hAnsi="Prompt"/>
                <w:b w:val="0"/>
                <w:i w:val="0"/>
                <w:color w:val="2B3149"/>
                <w:sz w:val="18"/>
              </w:rPr>
              <w:t>Date: __________</w:t>
            </w:r>
          </w:p>
        </w:tc>
      </w:tr>
    </w:tbl>
    <w:p>
      <w:pPr>
        <w:pStyle w:val="Heading1"/>
      </w:pPr>
      <w:r>
        <w:t>Reference links</w:t>
      </w:r>
    </w:p>
    <w:p>
      <w:pPr>
        <w:pStyle w:val="ListBullet"/>
        <w:spacing w:after="60"/>
        <w:ind w:left="432" w:hanging="202"/>
      </w:pPr>
      <w:r>
        <w:rPr>
          <w:rFonts w:ascii="Prompt" w:hAnsi="Prompt"/>
          <w:b/>
          <w:i w:val="0"/>
          <w:color w:val="2B3149"/>
          <w:sz w:val="17"/>
        </w:rPr>
        <w:t xml:space="preserve">USCIS Form I-9 Central: </w:t>
      </w:r>
      <w:r>
        <w:rPr>
          <w:rFonts w:ascii="Prompt" w:hAnsi="Prompt"/>
          <w:b w:val="0"/>
          <w:i w:val="0"/>
          <w:color w:val="356FC4"/>
          <w:sz w:val="17"/>
        </w:rPr>
        <w:t>https://www.uscis.gov/i-9-central</w:t>
      </w:r>
    </w:p>
    <w:p>
      <w:pPr>
        <w:pStyle w:val="ListBullet"/>
        <w:spacing w:after="60"/>
        <w:ind w:left="432" w:hanging="202"/>
      </w:pPr>
      <w:r>
        <w:rPr>
          <w:rFonts w:ascii="Prompt" w:hAnsi="Prompt"/>
          <w:b/>
          <w:i w:val="0"/>
          <w:color w:val="2B3149"/>
          <w:sz w:val="17"/>
        </w:rPr>
        <w:t xml:space="preserve">IRS Publication 15: </w:t>
      </w:r>
      <w:r>
        <w:rPr>
          <w:rFonts w:ascii="Prompt" w:hAnsi="Prompt"/>
          <w:b w:val="0"/>
          <w:i w:val="0"/>
          <w:color w:val="356FC4"/>
          <w:sz w:val="17"/>
        </w:rPr>
        <w:t>https://www.irs.gov/publications/p15</w:t>
      </w:r>
    </w:p>
    <w:p>
      <w:pPr>
        <w:pStyle w:val="ListBullet"/>
        <w:spacing w:after="60"/>
        <w:ind w:left="432" w:hanging="202"/>
      </w:pPr>
      <w:r>
        <w:rPr>
          <w:rFonts w:ascii="Prompt" w:hAnsi="Prompt"/>
          <w:b/>
          <w:i w:val="0"/>
          <w:color w:val="2B3149"/>
          <w:sz w:val="17"/>
        </w:rPr>
        <w:t xml:space="preserve">U.S. Department of Labor workplace posters: </w:t>
      </w:r>
      <w:r>
        <w:rPr>
          <w:rFonts w:ascii="Prompt" w:hAnsi="Prompt"/>
          <w:b w:val="0"/>
          <w:i w:val="0"/>
          <w:color w:val="356FC4"/>
          <w:sz w:val="17"/>
        </w:rPr>
        <w:t>https://www.dol.gov/agencies/whd/posters</w:t>
      </w:r>
    </w:p>
    <w:p>
      <w:pPr>
        <w:pStyle w:val="ListBullet"/>
        <w:spacing w:after="60"/>
        <w:ind w:left="432" w:hanging="202"/>
      </w:pPr>
      <w:r>
        <w:rPr>
          <w:rFonts w:ascii="Prompt" w:hAnsi="Prompt"/>
          <w:b/>
          <w:i w:val="0"/>
          <w:color w:val="2B3149"/>
          <w:sz w:val="17"/>
        </w:rPr>
        <w:t xml:space="preserve">Lvl Haus I-9 and new-hire review: </w:t>
      </w:r>
      <w:r>
        <w:rPr>
          <w:rFonts w:ascii="Prompt" w:hAnsi="Prompt"/>
          <w:b w:val="0"/>
          <w:i w:val="0"/>
          <w:color w:val="356FC4"/>
          <w:sz w:val="17"/>
        </w:rPr>
        <w:t>https://www.lvlhaus.com/i-9-new-hire-compliance-review/</w:t>
      </w:r>
    </w:p>
    <w:p>
      <w:pPr>
        <w:spacing w:before="160" w:after="0"/>
      </w:pPr>
      <w:r>
        <w:rPr>
          <w:rFonts w:ascii="Prompt" w:hAnsi="Prompt"/>
          <w:b/>
          <w:i w:val="0"/>
          <w:color w:val="2B3D6C"/>
          <w:sz w:val="17"/>
        </w:rPr>
        <w:t xml:space="preserve">Educational use only. </w:t>
      </w:r>
      <w:r>
        <w:rPr>
          <w:rFonts w:ascii="Prompt" w:hAnsi="Prompt"/>
          <w:b w:val="0"/>
          <w:i w:val="0"/>
          <w:color w:val="2B3149"/>
          <w:sz w:val="17"/>
        </w:rPr>
        <w:t>This toolkit is a general operational aid, not legal, tax, payroll, benefits, safety, or other professional advice. Requirements change and may differ by jurisdiction and organization. Verify current authoritative guidance and consult qualified advisors before acting.</w:t>
      </w:r>
    </w:p>
    <w:p>
      <w:pPr>
        <w:spacing w:before="40" w:after="0"/>
      </w:pPr>
      <w:r>
        <w:rPr>
          <w:rFonts w:ascii="Prompt" w:hAnsi="Prompt"/>
          <w:b w:val="0"/>
          <w:i w:val="0"/>
          <w:color w:val="667085"/>
          <w:sz w:val="16"/>
        </w:rPr>
        <w:t>Version 1.0 | Last reviewed August 21, 2026 | © 2026 Lvl Haus LLC</w:t>
      </w:r>
    </w:p>
    <w:sectPr w:rsidR="00FC693F" w:rsidRPr="0006063C" w:rsidSect="00034616">
      <w:headerReference w:type="default" r:id="rId9"/>
      <w:footerReference w:type="default" r:id="rId10"/>
      <w:pgSz w:w="12240" w:h="15840"/>
      <w:pgMar w:top="1037" w:right="1037" w:bottom="979"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rompt" w:hAnsi="Prompt"/>
        <w:b/>
        <w:i w:val="0"/>
        <w:color w:val="2B3D6C"/>
        <w:sz w:val="17"/>
      </w:rPr>
      <w:t>LVL HAUS  |  lvlhaus.com  |  hello@lvlhaus.com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1234440" cy="619192"/>
          <wp:docPr id="1" name="Picture 1"/>
          <wp:cNvGraphicFramePr>
            <a:graphicFrameLocks noChangeAspect="1"/>
          </wp:cNvGraphicFramePr>
          <a:graphic>
            <a:graphicData uri="http://schemas.openxmlformats.org/drawingml/2006/picture">
              <pic:pic>
                <pic:nvPicPr>
                  <pic:cNvPr id="0" name="brandimg-002.png"/>
                  <pic:cNvPicPr/>
                </pic:nvPicPr>
                <pic:blipFill>
                  <a:blip r:embed="rId1"/>
                  <a:stretch>
                    <a:fillRect/>
                  </a:stretch>
                </pic:blipFill>
                <pic:spPr>
                  <a:xfrm>
                    <a:off x="0" y="0"/>
                    <a:ext cx="1234440" cy="619192"/>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Prompt" w:hAnsi="Prompt"/>
      <w:color w:val="2B314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Poppins" w:hAnsi="Poppins"/>
      <w:b/>
      <w:bCs/>
      <w:color w:val="2B3D6C"/>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Poppins" w:hAnsi="Poppins"/>
      <w:b/>
      <w:bCs/>
      <w:color w:val="2B3D6C"/>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Poppins" w:hAnsi="Poppins"/>
      <w:b/>
      <w:bCs/>
      <w:color w:val="FF823C"/>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Hire File Checklist</dc:title>
  <dc:subject>Lvl Haus Toolkit</dc:subject>
  <dc:creator>Lvl Haus LLC</dc:creator>
  <cp:keywords>Lvl Haus, employer compliance, checklist, toolkit</cp:keywords>
  <dc:description>generated by python-docx</dc:description>
  <cp:lastModifiedBy/>
  <cp:revision>1</cp:revision>
  <dcterms:created xsi:type="dcterms:W3CDTF">2013-12-23T23:15:00Z</dcterms:created>
  <dcterms:modified xsi:type="dcterms:W3CDTF">2013-12-23T23:15:00Z</dcterms:modified>
  <cp:category/>
</cp:coreProperties>
</file>