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100"/>
      </w:pPr>
      <w:r>
        <w:rPr>
          <w:rFonts w:ascii="Poppins" w:hAnsi="Poppins"/>
          <w:b/>
          <w:i w:val="0"/>
          <w:color w:val="FF823C"/>
          <w:sz w:val="19"/>
        </w:rPr>
        <w:t>LVL HAUS TOOLKIT | PAYROLL &amp; TAX REPORTING</w:t>
      </w:r>
    </w:p>
    <w:p>
      <w:pPr>
        <w:spacing w:after="100"/>
      </w:pPr>
      <w:r>
        <w:rPr>
          <w:rFonts w:ascii="Poppins" w:hAnsi="Poppins"/>
          <w:b/>
          <w:i w:val="0"/>
          <w:color w:val="2B3D6C"/>
          <w:sz w:val="50"/>
        </w:rPr>
        <w:t>Monthly Payroll Reconciliation Checklist</w:t>
      </w:r>
    </w:p>
    <w:p>
      <w:pPr>
        <w:spacing w:after="280"/>
      </w:pPr>
      <w:r>
        <w:rPr>
          <w:rFonts w:ascii="Prompt" w:hAnsi="Prompt"/>
          <w:b w:val="0"/>
          <w:i w:val="0"/>
          <w:color w:val="2B3149"/>
          <w:sz w:val="24"/>
        </w:rPr>
        <w:t>A repeatable control rhythm for payroll accuracy, tax deposits, accounting alignment, and audit-ready records.</w:t>
      </w:r>
    </w:p>
    <w:tbl>
      <w:tblPr>
        <w:tblW w:type="auto" w:w="0"/>
        <w:jc w:val="center"/>
        <w:tblLayout w:type="fixed"/>
        <w:tblLook w:firstColumn="1" w:firstRow="1" w:lastColumn="0" w:lastRow="0" w:noHBand="0" w:noVBand="1" w:val="04A0"/>
      </w:tblPr>
      <w:tblGrid>
        <w:gridCol w:w="5083"/>
        <w:gridCol w:w="5083"/>
      </w:tblGrid>
      <w:tr>
        <w:tc>
          <w:tcPr>
            <w:tcW w:type="dxa" w:w="1700"/>
            <w:tcMar>
              <w:top w:w="120" w:type="dxa"/>
              <w:start w:w="150" w:type="dxa"/>
              <w:bottom w:w="120" w:type="dxa"/>
              <w:end w:w="150" w:type="dxa"/>
            </w:tcMar>
            <w:vAlign w:val="center"/>
            <w:shd w:fill="2B3D6C"/>
          </w:tcPr>
          <w:p>
            <w:pPr>
              <w:jc w:val="center"/>
            </w:pPr>
            <w:r>
              <w:rPr>
                <w:rFonts w:ascii="Poppins" w:hAnsi="Poppins"/>
                <w:b/>
                <w:i w:val="0"/>
                <w:color w:val="FFFFFF"/>
                <w:sz w:val="17"/>
              </w:rPr>
              <w:t>PURPOSE</w:t>
            </w:r>
          </w:p>
        </w:tc>
        <w:tc>
          <w:tcPr>
            <w:tcW w:type="dxa" w:w="7660"/>
            <w:tcMar>
              <w:top w:w="120" w:type="dxa"/>
              <w:start w:w="150" w:type="dxa"/>
              <w:bottom w:w="120" w:type="dxa"/>
              <w:end w:w="150" w:type="dxa"/>
            </w:tcMar>
            <w:vAlign w:val="center"/>
            <w:shd w:fill="E4F0F8"/>
          </w:tcPr>
          <w:p>
            <w:r>
              <w:rPr>
                <w:rFonts w:ascii="Prompt" w:hAnsi="Prompt"/>
                <w:b w:val="0"/>
                <w:i w:val="0"/>
                <w:color w:val="2B3149"/>
                <w:sz w:val="19"/>
              </w:rPr>
              <w:t>Reconcile payroll activity before small errors compound into quarter-end or year-end reporting problems.</w:t>
            </w:r>
          </w:p>
        </w:tc>
      </w:tr>
      <w:tr>
        <w:tc>
          <w:tcPr>
            <w:tcW w:type="dxa" w:w="1700"/>
            <w:tcMar>
              <w:top w:w="120" w:type="dxa"/>
              <w:start w:w="150" w:type="dxa"/>
              <w:bottom w:w="120" w:type="dxa"/>
              <w:end w:w="150" w:type="dxa"/>
            </w:tcMar>
            <w:vAlign w:val="center"/>
            <w:shd w:fill="2B3D6C"/>
          </w:tcPr>
          <w:p>
            <w:pPr>
              <w:jc w:val="center"/>
            </w:pPr>
            <w:r>
              <w:rPr>
                <w:rFonts w:ascii="Poppins" w:hAnsi="Poppins"/>
                <w:b/>
                <w:i w:val="0"/>
                <w:color w:val="FFFFFF"/>
                <w:sz w:val="17"/>
              </w:rPr>
              <w:t>BEST FOR</w:t>
            </w:r>
          </w:p>
        </w:tc>
        <w:tc>
          <w:tcPr>
            <w:tcW w:type="dxa" w:w="7660"/>
            <w:tcMar>
              <w:top w:w="120" w:type="dxa"/>
              <w:start w:w="150" w:type="dxa"/>
              <w:bottom w:w="120" w:type="dxa"/>
              <w:end w:w="150" w:type="dxa"/>
            </w:tcMar>
            <w:vAlign w:val="center"/>
            <w:shd w:fill="FFEDDB"/>
          </w:tcPr>
          <w:p>
            <w:r>
              <w:rPr>
                <w:rFonts w:ascii="Prompt" w:hAnsi="Prompt"/>
                <w:b w:val="0"/>
                <w:i w:val="0"/>
                <w:color w:val="2B3149"/>
                <w:sz w:val="19"/>
              </w:rPr>
              <w:t>Employers running payroll internally or through a provider, especially organizations with multi-state employees, frequent status changes, benefit deductions, bonuses, commissions, or garnishments.</w:t>
            </w:r>
          </w:p>
        </w:tc>
      </w:tr>
    </w:tbl>
    <w:p/>
    <w:tbl>
      <w:tblPr>
        <w:tblW w:type="auto" w:w="0"/>
        <w:jc w:val="center"/>
        <w:tblLayout w:type="fixed"/>
        <w:tblLook w:firstColumn="1" w:firstRow="1" w:lastColumn="0" w:lastRow="0" w:noHBand="0" w:noVBand="1" w:val="04A0"/>
      </w:tblPr>
      <w:tblGrid>
        <w:gridCol w:w="2541"/>
        <w:gridCol w:w="2541"/>
        <w:gridCol w:w="2541"/>
        <w:gridCol w:w="2541"/>
      </w:tblGrid>
      <w:tr>
        <w:tc>
          <w:tcPr>
            <w:tcW w:type="dxa" w:w="1500"/>
            <w:tcMar>
              <w:top w:w="95" w:type="dxa"/>
              <w:start w:w="110" w:type="dxa"/>
              <w:bottom w:w="95" w:type="dxa"/>
              <w:end w:w="110" w:type="dxa"/>
            </w:tcMar>
            <w:shd w:fill="E4F0F8"/>
          </w:tcPr>
          <w:p>
            <w:r>
              <w:rPr>
                <w:rFonts w:ascii="Poppins" w:hAnsi="Poppins"/>
                <w:b/>
                <w:i w:val="0"/>
                <w:color w:val="2B3D6C"/>
                <w:sz w:val="16"/>
              </w:rPr>
              <w:t>Payroll month</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Pay dates reviewed</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Payroll provider</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Prepared by</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Legal entities</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States / localities</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Review date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Approved by</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bl>
    <w:p/>
    <w:p>
      <w:pPr>
        <w:pStyle w:val="Heading1"/>
      </w:pPr>
      <w:r>
        <w:t>1. Payroll population and change review</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New hires, terminations, leaves, transfers, and status changes agree with approved HR records.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Pay rates, salary changes, bonuses, commissions, retroactive pay, and final-pay items were authorized.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Time, overtime, PTO, shift differentials, and other earnings inputs were reviewed for reasonableness.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Employee work locations and applicable state/local tax setups were reviewed for changes.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2. Payroll register reconciliation</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Gross wages reconcile to approved payroll inputs and the payroll register.</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Employee and employer tax totals are reasonable compared with prior periods and known changes.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Pre-tax and post-tax deductions reconcile to elections, files, and authorized changes.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Net pay plus deductions plus taxes reconciles to gross payroll and funding totals.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Off-cycle, voided, reversed, or manual payments are identified and documented.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bl>
    <w:p>
      <w:pPr>
        <w:pStyle w:val="Heading1"/>
      </w:pPr>
      <w:r>
        <w:t>3. Tax deposits and filing readiness</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Federal payroll-tax deposit amounts and dates agree with payroll liability reports.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State and local withholding/unemployment deposits were validated for each active jurisdiction.</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Deposit confirmations or provider reports are retained with the monthly close package.</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Month-to-date and quarter-to-date taxable wages were reviewed for wage-base and limit issues.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Potential Form 941, state return, W-2, or amendment issues were added to the exception log.</w:t>
            </w:r>
          </w:p>
        </w:tc>
        <w:tc>
          <w:tcPr>
            <w:tcW w:type="dxa" w:w="2700"/>
            <w:tcMar>
              <w:top w:w="72" w:type="dxa"/>
              <w:start w:w="120" w:type="dxa"/>
              <w:bottom w:w="72" w:type="dxa"/>
              <w:end w:w="120" w:type="dxa"/>
            </w:tcMar>
            <w:vAlign w:val="center"/>
          </w:tcPr>
          <w:p>
            <w:r>
              <w:rPr>
                <w:rFonts w:ascii="Prompt" w:hAnsi="Prompt"/>
                <w:b w:val="0"/>
                <w:i w:val="0"/>
                <w:color w:val="2B3149"/>
                <w:sz w:val="18"/>
              </w:rPr>
            </w:r>
          </w:p>
        </w:tc>
      </w:tr>
    </w:tbl>
    <w:p>
      <w:pPr>
        <w:pStyle w:val="Heading1"/>
      </w:pPr>
      <w:r>
        <w:t>4. Benefits, deductions, and third-party payments</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Health, retirement, HSA/FSA, garnishment, and other deductions reconcile to applicable files or invoices.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Employer contributions and imputed income were reviewed where applicable.</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Rejected deductions, arrears, refunds, or missed payments have documented follow-up.</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Third-party sick pay or other externally administered wage items were captured when applicable.</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5. General ledger and cash reconciliation</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Payroll expense, liabilities, taxes, benefits, and cash entries reconcile to the general ledger.</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Payroll funding withdrawals and direct-deposit totals reconcile to bank activity.</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Outstanding payroll liabilities have an explanation, owner, and expected clearing date.</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Material variances from budget, prior month, or expected headcount are documented.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6. Close package and exception management</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Payroll register, tax confirmations, funding reports, journal entries, and reconciliations are archived.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Sensitive files are stored in an access-controlled location using the approved naming convention.</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Each exception includes the issue, impact, owner, due date, resolution, and evidence.</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Quarter-to-date balances and open issues were carried forward to the next review.</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Exceptions and corrective actions</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pStyle w:val="Heading1"/>
      </w:pPr>
      <w:r>
        <w:t>Review and sign-off</w:t>
      </w:r>
    </w:p>
    <w:tbl>
      <w:tblPr>
        <w:tblW w:type="auto" w:w="0"/>
        <w:jc w:val="center"/>
        <w:tblLayout w:type="fixed"/>
        <w:tblLook w:firstColumn="1" w:firstRow="1" w:lastColumn="0" w:lastRow="0" w:noHBand="0" w:noVBand="1" w:val="04A0"/>
      </w:tblPr>
      <w:tblGrid>
        <w:gridCol w:w="3389"/>
        <w:gridCol w:w="3389"/>
        <w:gridCol w:w="3389"/>
      </w:tblGrid>
      <w:tr>
        <w:tc>
          <w:tcPr>
            <w:tcW w:type="dxa" w:w="2050"/>
            <w:tcMar>
              <w:top w:w="120" w:type="dxa"/>
              <w:start w:w="110" w:type="dxa"/>
              <w:bottom w:w="120" w:type="dxa"/>
              <w:end w:w="110" w:type="dxa"/>
            </w:tcMar>
            <w:shd w:fill="E4F0F8"/>
          </w:tcPr>
          <w:p>
            <w:r>
              <w:rPr>
                <w:rFonts w:ascii="Poppins" w:hAnsi="Poppins"/>
                <w:b/>
                <w:i w:val="0"/>
                <w:color w:val="2B3D6C"/>
                <w:sz w:val="17"/>
              </w:rPr>
              <w:t>Prepared by</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r>
        <w:tc>
          <w:tcPr>
            <w:tcW w:type="dxa" w:w="2050"/>
            <w:tcMar>
              <w:top w:w="120" w:type="dxa"/>
              <w:start w:w="110" w:type="dxa"/>
              <w:bottom w:w="120" w:type="dxa"/>
              <w:end w:w="110" w:type="dxa"/>
            </w:tcMar>
            <w:shd w:fill="E4F0F8"/>
          </w:tcPr>
          <w:p>
            <w:r>
              <w:rPr>
                <w:rFonts w:ascii="Poppins" w:hAnsi="Poppins"/>
                <w:b/>
                <w:i w:val="0"/>
                <w:color w:val="2B3D6C"/>
                <w:sz w:val="17"/>
              </w:rPr>
              <w:t>Reviewed by</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r>
        <w:tc>
          <w:tcPr>
            <w:tcW w:type="dxa" w:w="2050"/>
            <w:tcMar>
              <w:top w:w="120" w:type="dxa"/>
              <w:start w:w="110" w:type="dxa"/>
              <w:bottom w:w="120" w:type="dxa"/>
              <w:end w:w="110" w:type="dxa"/>
            </w:tcMar>
            <w:shd w:fill="E4F0F8"/>
          </w:tcPr>
          <w:p>
            <w:r>
              <w:rPr>
                <w:rFonts w:ascii="Poppins" w:hAnsi="Poppins"/>
                <w:b/>
                <w:i w:val="0"/>
                <w:color w:val="2B3D6C"/>
                <w:sz w:val="17"/>
              </w:rPr>
              <w:t>Approved by</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bl>
    <w:p>
      <w:pPr>
        <w:pStyle w:val="Heading1"/>
      </w:pPr>
      <w:r>
        <w:t>Reference links</w:t>
      </w:r>
    </w:p>
    <w:p>
      <w:pPr>
        <w:pStyle w:val="ListBullet"/>
        <w:spacing w:after="60"/>
        <w:ind w:left="432" w:hanging="202"/>
      </w:pPr>
      <w:r>
        <w:rPr>
          <w:rFonts w:ascii="Prompt" w:hAnsi="Prompt"/>
          <w:b/>
          <w:i w:val="0"/>
          <w:color w:val="2B3149"/>
          <w:sz w:val="17"/>
        </w:rPr>
        <w:t xml:space="preserve">IRS Publication 15: </w:t>
      </w:r>
      <w:r>
        <w:rPr>
          <w:rFonts w:ascii="Prompt" w:hAnsi="Prompt"/>
          <w:b w:val="0"/>
          <w:i w:val="0"/>
          <w:color w:val="356FC4"/>
          <w:sz w:val="17"/>
        </w:rPr>
        <w:t>https://www.irs.gov/publications/p15</w:t>
      </w:r>
    </w:p>
    <w:p>
      <w:pPr>
        <w:pStyle w:val="ListBullet"/>
        <w:spacing w:after="60"/>
        <w:ind w:left="432" w:hanging="202"/>
      </w:pPr>
      <w:r>
        <w:rPr>
          <w:rFonts w:ascii="Prompt" w:hAnsi="Prompt"/>
          <w:b/>
          <w:i w:val="0"/>
          <w:color w:val="2B3149"/>
          <w:sz w:val="17"/>
        </w:rPr>
        <w:t xml:space="preserve">IRS employment tax due dates: </w:t>
      </w:r>
      <w:r>
        <w:rPr>
          <w:rFonts w:ascii="Prompt" w:hAnsi="Prompt"/>
          <w:b w:val="0"/>
          <w:i w:val="0"/>
          <w:color w:val="356FC4"/>
          <w:sz w:val="17"/>
        </w:rPr>
        <w:t>https://www.irs.gov/businesses/small-businesses-self-employed/employment-tax-due-dates</w:t>
      </w:r>
    </w:p>
    <w:p>
      <w:pPr>
        <w:pStyle w:val="ListBullet"/>
        <w:spacing w:after="60"/>
        <w:ind w:left="432" w:hanging="202"/>
      </w:pPr>
      <w:r>
        <w:rPr>
          <w:rFonts w:ascii="Prompt" w:hAnsi="Prompt"/>
          <w:b/>
          <w:i w:val="0"/>
          <w:color w:val="2B3149"/>
          <w:sz w:val="17"/>
        </w:rPr>
        <w:t xml:space="preserve">Electronic Federal Tax Payment System: </w:t>
      </w:r>
      <w:r>
        <w:rPr>
          <w:rFonts w:ascii="Prompt" w:hAnsi="Prompt"/>
          <w:b w:val="0"/>
          <w:i w:val="0"/>
          <w:color w:val="356FC4"/>
          <w:sz w:val="17"/>
        </w:rPr>
        <w:t>https://www.eftps.gov/</w:t>
      </w:r>
    </w:p>
    <w:p>
      <w:pPr>
        <w:pStyle w:val="ListBullet"/>
        <w:spacing w:after="60"/>
        <w:ind w:left="432" w:hanging="202"/>
      </w:pPr>
      <w:r>
        <w:rPr>
          <w:rFonts w:ascii="Prompt" w:hAnsi="Prompt"/>
          <w:b/>
          <w:i w:val="0"/>
          <w:color w:val="2B3149"/>
          <w:sz w:val="17"/>
        </w:rPr>
        <w:t xml:space="preserve">Lvl Haus federal payroll-tax deposits: </w:t>
      </w:r>
      <w:r>
        <w:rPr>
          <w:rFonts w:ascii="Prompt" w:hAnsi="Prompt"/>
          <w:b w:val="0"/>
          <w:i w:val="0"/>
          <w:color w:val="356FC4"/>
          <w:sz w:val="17"/>
        </w:rPr>
        <w:t>https://www.lvlhaus.com/federal-payroll-tax-deposit-requirements/</w:t>
      </w:r>
    </w:p>
    <w:p>
      <w:pPr>
        <w:pStyle w:val="ListBullet"/>
        <w:spacing w:after="60"/>
        <w:ind w:left="432" w:hanging="202"/>
      </w:pPr>
      <w:r>
        <w:rPr>
          <w:rFonts w:ascii="Prompt" w:hAnsi="Prompt"/>
          <w:b/>
          <w:i w:val="0"/>
          <w:color w:val="2B3149"/>
          <w:sz w:val="17"/>
        </w:rPr>
        <w:t xml:space="preserve">Lvl Haus Form 941 guidance: </w:t>
      </w:r>
      <w:r>
        <w:rPr>
          <w:rFonts w:ascii="Prompt" w:hAnsi="Prompt"/>
          <w:b w:val="0"/>
          <w:i w:val="0"/>
          <w:color w:val="356FC4"/>
          <w:sz w:val="17"/>
        </w:rPr>
        <w:t>https://www.lvlhaus.com/what-is-the-employers-quarterly-federal-tax-return-form-form-941/</w:t>
      </w:r>
    </w:p>
    <w:p>
      <w:pPr>
        <w:spacing w:before="160" w:after="0"/>
      </w:pPr>
      <w:r>
        <w:rPr>
          <w:rFonts w:ascii="Prompt" w:hAnsi="Prompt"/>
          <w:b/>
          <w:i w:val="0"/>
          <w:color w:val="2B3D6C"/>
          <w:sz w:val="17"/>
        </w:rPr>
        <w:t xml:space="preserve">Educational use only. </w:t>
      </w:r>
      <w:r>
        <w:rPr>
          <w:rFonts w:ascii="Prompt" w:hAnsi="Prompt"/>
          <w:b w:val="0"/>
          <w:i w:val="0"/>
          <w:color w:val="2B3149"/>
          <w:sz w:val="17"/>
        </w:rPr>
        <w:t>This toolkit is a general operational aid, not legal, tax, payroll, benefits, safety, or other professional advice. Requirements change and may differ by jurisdiction and organization. Verify current authoritative guidance and consult qualified advisors before acting.</w:t>
      </w:r>
    </w:p>
    <w:p>
      <w:pPr>
        <w:spacing w:before="40" w:after="0"/>
      </w:pPr>
      <w:r>
        <w:rPr>
          <w:rFonts w:ascii="Prompt" w:hAnsi="Prompt"/>
          <w:b w:val="0"/>
          <w:i w:val="0"/>
          <w:color w:val="667085"/>
          <w:sz w:val="16"/>
        </w:rPr>
        <w:t>Version 1.0 | Last reviewed August 21, 2026 | © 2026 Lvl Haus LLC</w:t>
      </w:r>
    </w:p>
    <w:sectPr w:rsidR="00FC693F" w:rsidRPr="0006063C" w:rsidSect="00034616">
      <w:headerReference w:type="default" r:id="rId9"/>
      <w:footerReference w:type="default" r:id="rId10"/>
      <w:pgSz w:w="12240" w:h="15840"/>
      <w:pgMar w:top="1037" w:right="1037" w:bottom="979"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rompt" w:hAnsi="Prompt"/>
        <w:b/>
        <w:i w:val="0"/>
        <w:color w:val="2B3D6C"/>
        <w:sz w:val="17"/>
      </w:rPr>
      <w:t>LVL HAUS  |  lvlhaus.com  |  hello@lvlhaus.com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234440" cy="619192"/>
          <wp:docPr id="1" name="Picture 1"/>
          <wp:cNvGraphicFramePr>
            <a:graphicFrameLocks noChangeAspect="1"/>
          </wp:cNvGraphicFramePr>
          <a:graphic>
            <a:graphicData uri="http://schemas.openxmlformats.org/drawingml/2006/picture">
              <pic:pic>
                <pic:nvPicPr>
                  <pic:cNvPr id="0" name="brandimg-002.png"/>
                  <pic:cNvPicPr/>
                </pic:nvPicPr>
                <pic:blipFill>
                  <a:blip r:embed="rId1"/>
                  <a:stretch>
                    <a:fillRect/>
                  </a:stretch>
                </pic:blipFill>
                <pic:spPr>
                  <a:xfrm>
                    <a:off x="0" y="0"/>
                    <a:ext cx="1234440" cy="619192"/>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Prompt" w:hAnsi="Prompt"/>
      <w:color w:val="2B314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Poppins" w:hAnsi="Poppins"/>
      <w:b/>
      <w:bCs/>
      <w:color w:val="2B3D6C"/>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Poppins" w:hAnsi="Poppins"/>
      <w:b/>
      <w:bCs/>
      <w:color w:val="2B3D6C"/>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Poppins" w:hAnsi="Poppins"/>
      <w:b/>
      <w:bCs/>
      <w:color w:val="FF823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Payroll Reconciliation Checklist</dc:title>
  <dc:subject>Lvl Haus Toolkit</dc:subject>
  <dc:creator>Lvl Haus LLC</dc:creator>
  <cp:keywords>Lvl Haus, employer compliance, checklist, toolkit</cp:keywords>
  <dc:description>generated by python-docx</dc:description>
  <cp:lastModifiedBy/>
  <cp:revision>1</cp:revision>
  <dcterms:created xsi:type="dcterms:W3CDTF">2013-12-23T23:15:00Z</dcterms:created>
  <dcterms:modified xsi:type="dcterms:W3CDTF">2013-12-23T23:15:00Z</dcterms:modified>
  <cp:category/>
</cp:coreProperties>
</file>